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21" w:rsidRDefault="004B0621" w:rsidP="004B0621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Novogodišnji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„3x3 Still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Ballin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' New Year's Madness </w:t>
      </w:r>
      <w:r>
        <w:rPr>
          <w:rFonts w:ascii="Calibri" w:hAnsi="Calibri" w:cs="Calibri"/>
          <w:b/>
          <w:bCs/>
          <w:sz w:val="22"/>
          <w:szCs w:val="22"/>
        </w:rPr>
        <w:t>No2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“</w:t>
      </w:r>
    </w:p>
    <w:p w:rsidR="004B0621" w:rsidRDefault="004B0621" w:rsidP="004B0621">
      <w:pPr>
        <w:jc w:val="center"/>
        <w:rPr>
          <w:rFonts w:ascii="Calibri" w:hAnsi="Calibri" w:cs="Calibri"/>
          <w:color w:val="1F497D"/>
          <w:sz w:val="22"/>
          <w:szCs w:val="22"/>
          <w:lang w:val="en-US"/>
        </w:rPr>
      </w:pPr>
      <w:bookmarkStart w:id="0" w:name="_GoBack"/>
      <w:bookmarkEnd w:id="0"/>
    </w:p>
    <w:p w:rsidR="00E1132F" w:rsidRDefault="004B0621" w:rsidP="004B0621">
      <w:proofErr w:type="spellStart"/>
      <w:r>
        <w:rPr>
          <w:rFonts w:ascii="Calibri" w:hAnsi="Calibri" w:cs="Calibri"/>
          <w:sz w:val="22"/>
          <w:szCs w:val="22"/>
          <w:lang w:val="en-US"/>
        </w:rPr>
        <w:t>Košarkaški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savez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Srbije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čast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posle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još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jedne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uspešne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3x3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sezone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kojoj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osvojena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4.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redu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titula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Svetskog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šampiona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, 1.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titula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Evropskog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šampionata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zatim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dominacije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naših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igrača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timova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svetskom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turu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nikad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bolje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organizovanog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domaćeg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prvenstva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nesvakidašnjim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finalom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Srbije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Trga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Republike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2. put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organizuje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novogodišnji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turnir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Novogodišnji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turnir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je od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prošle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godine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prepoznat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najveći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basket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turnir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obzirom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okuplja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takmičarske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(10)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istovremeno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odigrava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terena.Kao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federacija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svetu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želimo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krunišemo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još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1.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godinu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organizacojom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najmasovnijeg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turnira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centru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Šumadije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bi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okupilo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400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učesnika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cele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Srbije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relevantni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činioci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ovog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Olimpijskog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sporta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Naime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namera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je da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nekoliko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dana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Godinu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hali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„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Šumadija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sajma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“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prazničnoj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atmosferi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vama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podsetimo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naših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uspeha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protekloj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sezoni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najavimo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narednu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tog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razloga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hali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biće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postavljena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FUN zone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će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izložiti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naša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osvojena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trofeja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tekućoj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godine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svetsko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evropsko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prvenstvo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ovaj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put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biće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uključene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mnoge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takmičaarske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vama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samo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odaberete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svoju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borite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bogat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nagradni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fond.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Predviđene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takmičarske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biće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PRO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Seniori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Seniori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amateri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Studenti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Veterani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Biznis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liga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Seniorke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Juniori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Juniorke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Kadeti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Kadetkinje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Pioniri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nogodošnjoj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atmosferi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organizator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potrudio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da pored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prazničnog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druženja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kroz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sponzorski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pul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obezbedi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vredne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novčane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robne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nagrade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Predviđena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vrednost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ukupnog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nagradnog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fonda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preko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300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hiljada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dinara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za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svaku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određene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neke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nagrada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novčane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ili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robne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).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tri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prva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mesta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svim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kategorijama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dobijaju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medalje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  <w:t xml:space="preserve">Pro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Seniori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nagrade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1.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mesto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- 70.000,00 +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sportska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oprema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KSS (PEAK) +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medalje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2.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mesto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- 10.000,00 +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sportska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oprema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KSS (PEAK) +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medalje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3.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mesto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sportska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oprema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KSS (PEAK) +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medalje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Prijava&amp;info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: 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Nenad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Tanasijević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– 060/0800 444 </w:t>
      </w:r>
      <w:r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Nemanja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Stojanović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– 060/3477774 </w:t>
      </w:r>
      <w:r>
        <w:rPr>
          <w:rFonts w:ascii="Calibri" w:hAnsi="Calibri" w:cs="Calibri"/>
          <w:sz w:val="22"/>
          <w:szCs w:val="22"/>
          <w:lang w:val="en-US"/>
        </w:rPr>
        <w:br/>
        <w:t xml:space="preserve">Mail: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3x3@kss.rs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Mail: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3x3serbia@gmail.rs</w:t>
        </w:r>
      </w:hyperlink>
    </w:p>
    <w:sectPr w:rsidR="00E1132F" w:rsidSect="007B6D3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21"/>
    <w:rsid w:val="004B0621"/>
    <w:rsid w:val="007B6D31"/>
    <w:rsid w:val="00E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F6E81-3ED4-4876-ACAC-9E85ADE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621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x3serbia@gmail.rs" TargetMode="External"/><Relationship Id="rId4" Type="http://schemas.openxmlformats.org/officeDocument/2006/relationships/hyperlink" Target="mailto:3x3@ks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BaracSunbar</dc:creator>
  <cp:keywords/>
  <dc:description/>
  <cp:lastModifiedBy>BaracSunbar</cp:lastModifiedBy>
  <cp:revision>1</cp:revision>
  <dcterms:created xsi:type="dcterms:W3CDTF">2018-12-26T09:19:00Z</dcterms:created>
  <dcterms:modified xsi:type="dcterms:W3CDTF">2018-12-26T09:19:00Z</dcterms:modified>
</cp:coreProperties>
</file>